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74" w:rsidRPr="00634B74" w:rsidRDefault="00634B74" w:rsidP="00634B74">
      <w:pPr>
        <w:spacing w:line="760" w:lineRule="exact"/>
        <w:jc w:val="left"/>
        <w:rPr>
          <w:rFonts w:ascii="仿宋_GB2312" w:eastAsia="仿宋_GB2312" w:hAnsi="宋体" w:cs="宋体"/>
          <w:bCs/>
          <w:color w:val="000000"/>
          <w:kern w:val="0"/>
          <w:sz w:val="32"/>
          <w:szCs w:val="32"/>
        </w:rPr>
      </w:pPr>
    </w:p>
    <w:p w:rsidR="008F7001" w:rsidRDefault="008F7001" w:rsidP="008F7001">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专利审查协作北京中心福建分中心</w:t>
      </w:r>
    </w:p>
    <w:p w:rsidR="00856B3A" w:rsidRDefault="008F7001" w:rsidP="008F7001">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2019年度公开招聘审查员启事</w:t>
      </w:r>
    </w:p>
    <w:p w:rsidR="00856B3A" w:rsidRPr="00634B74" w:rsidRDefault="00856B3A">
      <w:pPr>
        <w:spacing w:line="760" w:lineRule="exact"/>
        <w:jc w:val="center"/>
        <w:rPr>
          <w:rFonts w:ascii="方正小标宋简体" w:eastAsia="方正小标宋简体"/>
          <w:sz w:val="44"/>
          <w:szCs w:val="44"/>
        </w:rPr>
      </w:pPr>
    </w:p>
    <w:p w:rsidR="00856B3A" w:rsidRPr="002D103D" w:rsidRDefault="00226B7B">
      <w:pPr>
        <w:widowControl/>
        <w:spacing w:line="560" w:lineRule="exact"/>
        <w:ind w:firstLine="643"/>
        <w:jc w:val="left"/>
        <w:outlineLvl w:val="0"/>
        <w:rPr>
          <w:rFonts w:ascii="黑体" w:eastAsia="黑体" w:hAnsi="宋体" w:cs="宋体"/>
          <w:bCs/>
          <w:kern w:val="0"/>
          <w:sz w:val="32"/>
          <w:szCs w:val="32"/>
        </w:rPr>
      </w:pPr>
      <w:r w:rsidRPr="002D103D">
        <w:rPr>
          <w:rFonts w:ascii="黑体" w:eastAsia="黑体" w:hAnsi="宋体" w:cs="宋体" w:hint="eastAsia"/>
          <w:bCs/>
          <w:kern w:val="0"/>
          <w:sz w:val="32"/>
          <w:szCs w:val="32"/>
        </w:rPr>
        <w:t>一、单位概况</w:t>
      </w:r>
    </w:p>
    <w:p w:rsidR="00856B3A" w:rsidRDefault="00226B7B">
      <w:pPr>
        <w:ind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专利审查协作北京中心福建分中心于2016年成立，2018年开始招聘并于该年八月份正式运营，远期人员规模规划为1000人。办公地点位于福州市海西高新技术产业园北部，占地约63亩，总建筑面积6.3万平方米。根据相关协议要求，将在“十三五”期间推动其成为具有独立法人资格的事业单位。</w:t>
      </w:r>
    </w:p>
    <w:p w:rsidR="00856B3A" w:rsidRDefault="00226B7B">
      <w:pPr>
        <w:ind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福州高新区是第一批成立的国家级高新区之一，是海峡西岸投建最早、规模最大、设施最为完善的园区。福建分中心的创建定位于深入实施国家知识产权战略，推进海峡两岸专利交流合作，促进地方知识产权工作，发挥福州作为沿海中心城市的辐射带动作用。</w:t>
      </w:r>
    </w:p>
    <w:p w:rsidR="00856B3A" w:rsidRDefault="00226B7B">
      <w:pPr>
        <w:ind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福建分中心交通便利，距离市中心约12公里，距在建的地铁2号线厚庭站仅900米，紧邻汽车总站，距福州站、福州南站均约20分钟车程；周边设施完善，紧邻福州大学城，周边有永嘉天地、正荣财富中心、仓山万达广场、爱琴海购物中心等生活场所。此外，当地政府已将专利审查紧缺急需人才纳入人才引进</w:t>
      </w:r>
      <w:r>
        <w:rPr>
          <w:rFonts w:ascii="仿宋_GB2312" w:eastAsia="仿宋_GB2312" w:hAnsi="宋体" w:cs="宋体" w:hint="eastAsia"/>
          <w:bCs/>
          <w:color w:val="000000"/>
          <w:kern w:val="0"/>
          <w:sz w:val="32"/>
          <w:szCs w:val="32"/>
        </w:rPr>
        <w:lastRenderedPageBreak/>
        <w:t>指导目录，对于符合条件的引进人才将给予生活津贴、子女入学、税收补贴等多项优惠政策。</w:t>
      </w:r>
    </w:p>
    <w:p w:rsidR="00856B3A" w:rsidRPr="002D103D" w:rsidRDefault="00226B7B">
      <w:pPr>
        <w:widowControl/>
        <w:spacing w:line="560" w:lineRule="exact"/>
        <w:ind w:firstLine="643"/>
        <w:jc w:val="left"/>
        <w:outlineLvl w:val="0"/>
        <w:rPr>
          <w:rFonts w:ascii="仿宋_GB2312" w:eastAsia="仿宋_GB2312" w:hAnsi="宋体" w:cs="宋体"/>
          <w:bCs/>
          <w:color w:val="000000"/>
          <w:kern w:val="0"/>
          <w:sz w:val="32"/>
          <w:szCs w:val="32"/>
        </w:rPr>
      </w:pPr>
      <w:r w:rsidRPr="002D103D">
        <w:rPr>
          <w:rFonts w:ascii="黑体" w:eastAsia="黑体" w:hAnsi="宋体" w:cs="宋体" w:hint="eastAsia"/>
          <w:bCs/>
          <w:kern w:val="0"/>
          <w:sz w:val="32"/>
          <w:szCs w:val="32"/>
        </w:rPr>
        <w:t>二、招聘岗位</w:t>
      </w:r>
    </w:p>
    <w:p w:rsidR="00856B3A" w:rsidRDefault="00226B7B">
      <w:pPr>
        <w:widowControl/>
        <w:spacing w:line="560" w:lineRule="exact"/>
        <w:ind w:firstLine="643"/>
        <w:jc w:val="left"/>
        <w:outlineLvl w:val="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福建分中心2019年计划面向社会公开招聘实审审查员</w:t>
      </w:r>
      <w:r>
        <w:rPr>
          <w:rFonts w:ascii="仿宋_GB2312" w:eastAsia="仿宋_GB2312" w:hAnsi="宋体" w:cs="宋体" w:hint="eastAsia"/>
          <w:color w:val="000000"/>
          <w:kern w:val="0"/>
          <w:sz w:val="32"/>
          <w:szCs w:val="32"/>
        </w:rPr>
        <w:t>150名</w:t>
      </w:r>
      <w:r>
        <w:rPr>
          <w:rFonts w:ascii="仿宋_GB2312" w:eastAsia="仿宋_GB2312" w:hAnsi="宋体" w:cs="宋体" w:hint="eastAsia"/>
          <w:bCs/>
          <w:color w:val="000000"/>
          <w:kern w:val="0"/>
          <w:sz w:val="32"/>
          <w:szCs w:val="32"/>
        </w:rPr>
        <w:t>，主要职责是根据专利法及其实施细则的相关规定对专利申请文件进行审查</w:t>
      </w:r>
      <w:r>
        <w:rPr>
          <w:rFonts w:ascii="仿宋_GB2312" w:eastAsia="仿宋_GB2312" w:hAnsi="宋体" w:cs="宋体" w:hint="eastAsia"/>
          <w:color w:val="000000"/>
          <w:kern w:val="0"/>
          <w:sz w:val="32"/>
          <w:szCs w:val="32"/>
        </w:rPr>
        <w:t>。</w:t>
      </w:r>
    </w:p>
    <w:p w:rsidR="00856B3A" w:rsidRPr="002D103D" w:rsidRDefault="00226B7B">
      <w:pPr>
        <w:widowControl/>
        <w:spacing w:line="560" w:lineRule="exact"/>
        <w:ind w:firstLine="643"/>
        <w:jc w:val="left"/>
        <w:outlineLvl w:val="0"/>
        <w:rPr>
          <w:rFonts w:ascii="黑体" w:eastAsia="黑体" w:hAnsi="宋体" w:cs="宋体"/>
          <w:bCs/>
          <w:kern w:val="0"/>
          <w:sz w:val="32"/>
          <w:szCs w:val="32"/>
        </w:rPr>
      </w:pPr>
      <w:r w:rsidRPr="002D103D">
        <w:rPr>
          <w:rFonts w:ascii="黑体" w:eastAsia="黑体" w:hAnsi="宋体" w:cs="宋体" w:hint="eastAsia"/>
          <w:bCs/>
          <w:kern w:val="0"/>
          <w:sz w:val="32"/>
          <w:szCs w:val="32"/>
        </w:rPr>
        <w:t>三、招聘职位表</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5705"/>
        <w:gridCol w:w="851"/>
      </w:tblGrid>
      <w:tr w:rsidR="00856B3A">
        <w:trPr>
          <w:trHeight w:val="240"/>
          <w:jc w:val="center"/>
        </w:trPr>
        <w:tc>
          <w:tcPr>
            <w:tcW w:w="851" w:type="dxa"/>
            <w:shd w:val="clear" w:color="000000" w:fill="FFFFFF"/>
            <w:vAlign w:val="center"/>
          </w:tcPr>
          <w:p w:rsidR="00856B3A" w:rsidRDefault="00226B7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职位代码</w:t>
            </w:r>
          </w:p>
        </w:tc>
        <w:tc>
          <w:tcPr>
            <w:tcW w:w="1275" w:type="dxa"/>
            <w:shd w:val="clear" w:color="000000" w:fill="FFFFFF"/>
            <w:vAlign w:val="center"/>
          </w:tcPr>
          <w:p w:rsidR="00856B3A" w:rsidRDefault="00226B7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职位名称</w:t>
            </w:r>
          </w:p>
        </w:tc>
        <w:tc>
          <w:tcPr>
            <w:tcW w:w="5705" w:type="dxa"/>
            <w:shd w:val="clear" w:color="000000" w:fill="FFFFFF"/>
            <w:vAlign w:val="center"/>
          </w:tcPr>
          <w:p w:rsidR="00856B3A" w:rsidRDefault="00226B7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专业及方向</w:t>
            </w:r>
          </w:p>
        </w:tc>
        <w:tc>
          <w:tcPr>
            <w:tcW w:w="851" w:type="dxa"/>
            <w:shd w:val="clear" w:color="000000" w:fill="FFFFFF"/>
            <w:vAlign w:val="center"/>
          </w:tcPr>
          <w:p w:rsidR="00856B3A" w:rsidRDefault="00226B7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招聘人数</w:t>
            </w:r>
          </w:p>
        </w:tc>
      </w:tr>
      <w:tr w:rsidR="00856B3A">
        <w:trPr>
          <w:trHeight w:val="312"/>
          <w:jc w:val="center"/>
        </w:trPr>
        <w:tc>
          <w:tcPr>
            <w:tcW w:w="851"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F101</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机械工程</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材料成型及控制工程、机械工程、机械设计制造及其自动化、机械电子工程、焊接技术与工程、材料加工工程（机械加工方向、压力加工方向）、农产品加工及贮藏工程、水产品加工及贮藏工程、木材科学与工程、木材科学与技术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21</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F102</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车辆工程</w:t>
            </w:r>
          </w:p>
        </w:tc>
        <w:tc>
          <w:tcPr>
            <w:tcW w:w="570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车辆工程、动力机械及工程、农业机械化及其自动化、农业机械化工程等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color w:val="000000"/>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color w:val="000000"/>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color w:val="000000"/>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rsidTr="00FD4110">
        <w:trPr>
          <w:trHeight w:val="700"/>
          <w:jc w:val="center"/>
        </w:trPr>
        <w:tc>
          <w:tcPr>
            <w:tcW w:w="851"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F103</w:t>
            </w:r>
          </w:p>
        </w:tc>
        <w:tc>
          <w:tcPr>
            <w:tcW w:w="1275"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印刷工程</w:t>
            </w:r>
          </w:p>
        </w:tc>
        <w:tc>
          <w:tcPr>
            <w:tcW w:w="5705"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印刷工程等</w:t>
            </w:r>
          </w:p>
        </w:tc>
        <w:tc>
          <w:tcPr>
            <w:tcW w:w="851" w:type="dxa"/>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r>
      <w:tr w:rsidR="00856B3A">
        <w:trPr>
          <w:trHeight w:val="312"/>
          <w:jc w:val="center"/>
        </w:trPr>
        <w:tc>
          <w:tcPr>
            <w:tcW w:w="851"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F104</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流体及船舶工程</w:t>
            </w:r>
          </w:p>
        </w:tc>
        <w:tc>
          <w:tcPr>
            <w:tcW w:w="570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流体力学、流体机械及工程、船舶与海洋工程、船舶与海洋结构物设计制造、轮机工程等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r>
      <w:tr w:rsidR="00856B3A">
        <w:trPr>
          <w:trHeight w:val="584"/>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color w:val="000000"/>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restart"/>
            <w:shd w:val="clear" w:color="auto" w:fill="auto"/>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F201</w:t>
            </w:r>
          </w:p>
        </w:tc>
        <w:tc>
          <w:tcPr>
            <w:tcW w:w="1275" w:type="dxa"/>
            <w:vMerge w:val="restart"/>
            <w:shd w:val="clear" w:color="auto" w:fill="auto"/>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计算机及应用</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计算机科学与技术、计算机应用技术、计算机软件与理论、计算机系统结构、软件工程、网络工程、信息安全、图形图像处理与多媒体技术、数字媒体技术、计算机视觉与应用、系统工程、信息与信号处理、网络与信息安全、物联网工程、电子与计算机工程、智能科学与技术、数据库与知识工程、信息与计算科学、计算机控制与智能化系统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28</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871"/>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F301</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通信工程</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通信工程、通信与信息系统、信号与信息处理、电子信息工程、电路与系统、无线电技术、网络工程、网络与信息安全、数字媒体技术、广播电视学、广播电视工程等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18</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956"/>
          <w:jc w:val="center"/>
        </w:trPr>
        <w:tc>
          <w:tcPr>
            <w:tcW w:w="851"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F302</w:t>
            </w:r>
          </w:p>
        </w:tc>
        <w:tc>
          <w:tcPr>
            <w:tcW w:w="1275"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电磁应用</w:t>
            </w:r>
          </w:p>
        </w:tc>
        <w:tc>
          <w:tcPr>
            <w:tcW w:w="5705" w:type="dxa"/>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电磁场与微波技术、电磁场与无线技术、电波传播与天线、电磁兼容、物理学、应用物理学等</w:t>
            </w:r>
          </w:p>
        </w:tc>
        <w:tc>
          <w:tcPr>
            <w:tcW w:w="851" w:type="dxa"/>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r>
      <w:tr w:rsidR="00856B3A">
        <w:trPr>
          <w:trHeight w:val="312"/>
          <w:jc w:val="center"/>
        </w:trPr>
        <w:tc>
          <w:tcPr>
            <w:tcW w:w="851"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F401</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测量与分析</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测试计量技术及仪器、精密仪器及机械、传感器技术、仪器科学与技术、电气检测技术及仪器、光学分析、分析化学、药物分析等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F402</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控制工程</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自动化（控制）、控制理论与控制工程、控制科学与工程、控制工程、自动控制技术、电气工程及其自动化、测控技术与仪器等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r>
      <w:tr w:rsidR="00856B3A">
        <w:trPr>
          <w:trHeight w:val="312"/>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704"/>
          <w:jc w:val="center"/>
        </w:trPr>
        <w:tc>
          <w:tcPr>
            <w:tcW w:w="851" w:type="dxa"/>
            <w:vMerge/>
            <w:vAlign w:val="center"/>
          </w:tcPr>
          <w:p w:rsidR="00856B3A" w:rsidRDefault="00856B3A">
            <w:pPr>
              <w:widowControl/>
              <w:rPr>
                <w:rFonts w:ascii="仿宋_GB2312" w:eastAsia="仿宋_GB2312" w:hAnsi="宋体" w:cs="宋体"/>
                <w:color w:val="000000"/>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312"/>
          <w:jc w:val="center"/>
        </w:trPr>
        <w:tc>
          <w:tcPr>
            <w:tcW w:w="851"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F403</w:t>
            </w:r>
          </w:p>
        </w:tc>
        <w:tc>
          <w:tcPr>
            <w:tcW w:w="1275" w:type="dxa"/>
            <w:vMerge w:val="restart"/>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光学工程</w:t>
            </w:r>
          </w:p>
        </w:tc>
        <w:tc>
          <w:tcPr>
            <w:tcW w:w="5705" w:type="dxa"/>
            <w:vMerge w:val="restart"/>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光学工程、光学、电子科学与技术（光学方向）、光电信息科学与工程等</w:t>
            </w:r>
          </w:p>
        </w:tc>
        <w:tc>
          <w:tcPr>
            <w:tcW w:w="851" w:type="dxa"/>
            <w:vMerge w:val="restart"/>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r>
      <w:tr w:rsidR="00856B3A">
        <w:trPr>
          <w:trHeight w:val="661"/>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color w:val="000000"/>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956"/>
          <w:jc w:val="center"/>
        </w:trPr>
        <w:tc>
          <w:tcPr>
            <w:tcW w:w="851"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F404</w:t>
            </w:r>
          </w:p>
        </w:tc>
        <w:tc>
          <w:tcPr>
            <w:tcW w:w="1275" w:type="dxa"/>
            <w:shd w:val="clear" w:color="000000" w:fill="FFFFFF"/>
            <w:vAlign w:val="center"/>
          </w:tcPr>
          <w:p w:rsidR="00856B3A" w:rsidRDefault="00226B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医学工程</w:t>
            </w:r>
          </w:p>
        </w:tc>
        <w:tc>
          <w:tcPr>
            <w:tcW w:w="5705" w:type="dxa"/>
            <w:shd w:val="clear" w:color="000000" w:fill="FFFFFF"/>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生物医学工程、医疗器械等</w:t>
            </w:r>
          </w:p>
        </w:tc>
        <w:tc>
          <w:tcPr>
            <w:tcW w:w="851" w:type="dxa"/>
            <w:shd w:val="clear" w:color="000000" w:fill="FFFFFF"/>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12</w:t>
            </w:r>
          </w:p>
        </w:tc>
      </w:tr>
      <w:tr w:rsidR="00856B3A">
        <w:trPr>
          <w:trHeight w:val="312"/>
          <w:jc w:val="center"/>
        </w:trPr>
        <w:tc>
          <w:tcPr>
            <w:tcW w:w="851"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F501</w:t>
            </w:r>
          </w:p>
        </w:tc>
        <w:tc>
          <w:tcPr>
            <w:tcW w:w="1275"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暖通工程</w:t>
            </w:r>
          </w:p>
        </w:tc>
        <w:tc>
          <w:tcPr>
            <w:tcW w:w="5705"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供热工程，热能工程，空调工程，制冷及低温工程等</w:t>
            </w:r>
          </w:p>
        </w:tc>
        <w:tc>
          <w:tcPr>
            <w:tcW w:w="851" w:type="dxa"/>
            <w:vMerge w:val="restart"/>
            <w:shd w:val="clear" w:color="auto" w:fill="auto"/>
            <w:vAlign w:val="center"/>
          </w:tcPr>
          <w:p w:rsidR="00856B3A" w:rsidRDefault="00226B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8</w:t>
            </w:r>
          </w:p>
        </w:tc>
      </w:tr>
      <w:tr w:rsidR="00856B3A">
        <w:trPr>
          <w:trHeight w:val="404"/>
          <w:jc w:val="center"/>
        </w:trPr>
        <w:tc>
          <w:tcPr>
            <w:tcW w:w="851" w:type="dxa"/>
            <w:vMerge/>
            <w:vAlign w:val="center"/>
          </w:tcPr>
          <w:p w:rsidR="00856B3A" w:rsidRDefault="00856B3A">
            <w:pPr>
              <w:widowControl/>
              <w:rPr>
                <w:rFonts w:ascii="仿宋_GB2312" w:eastAsia="仿宋_GB2312" w:hAnsi="宋体" w:cs="宋体"/>
                <w:kern w:val="0"/>
                <w:sz w:val="24"/>
                <w:szCs w:val="24"/>
              </w:rPr>
            </w:pPr>
          </w:p>
        </w:tc>
        <w:tc>
          <w:tcPr>
            <w:tcW w:w="1275" w:type="dxa"/>
            <w:vMerge/>
            <w:vAlign w:val="center"/>
          </w:tcPr>
          <w:p w:rsidR="00856B3A" w:rsidRDefault="00856B3A">
            <w:pPr>
              <w:widowControl/>
              <w:rPr>
                <w:rFonts w:ascii="仿宋_GB2312" w:eastAsia="仿宋_GB2312" w:hAnsi="宋体" w:cs="宋体"/>
                <w:kern w:val="0"/>
                <w:sz w:val="24"/>
                <w:szCs w:val="24"/>
              </w:rPr>
            </w:pPr>
          </w:p>
        </w:tc>
        <w:tc>
          <w:tcPr>
            <w:tcW w:w="5705" w:type="dxa"/>
            <w:vMerge/>
            <w:vAlign w:val="center"/>
          </w:tcPr>
          <w:p w:rsidR="00856B3A" w:rsidRDefault="00856B3A">
            <w:pPr>
              <w:widowControl/>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color w:val="000000"/>
                <w:kern w:val="0"/>
                <w:sz w:val="24"/>
                <w:szCs w:val="24"/>
              </w:rPr>
            </w:pPr>
          </w:p>
        </w:tc>
      </w:tr>
      <w:tr w:rsidR="00856B3A">
        <w:trPr>
          <w:trHeight w:val="978"/>
          <w:jc w:val="center"/>
        </w:trPr>
        <w:tc>
          <w:tcPr>
            <w:tcW w:w="851" w:type="dxa"/>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F502</w:t>
            </w:r>
          </w:p>
        </w:tc>
        <w:tc>
          <w:tcPr>
            <w:tcW w:w="1275" w:type="dxa"/>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热能工程</w:t>
            </w:r>
          </w:p>
        </w:tc>
        <w:tc>
          <w:tcPr>
            <w:tcW w:w="5705" w:type="dxa"/>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热能工程，供热工程，能源与动力工程，工程热物理等</w:t>
            </w:r>
          </w:p>
        </w:tc>
        <w:tc>
          <w:tcPr>
            <w:tcW w:w="851" w:type="dxa"/>
            <w:shd w:val="clear" w:color="auto" w:fill="auto"/>
            <w:vAlign w:val="center"/>
          </w:tcPr>
          <w:p w:rsidR="00856B3A" w:rsidRDefault="00226B7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r>
      <w:tr w:rsidR="00856B3A">
        <w:trPr>
          <w:trHeight w:val="312"/>
          <w:jc w:val="center"/>
        </w:trPr>
        <w:tc>
          <w:tcPr>
            <w:tcW w:w="851"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F503</w:t>
            </w:r>
          </w:p>
        </w:tc>
        <w:tc>
          <w:tcPr>
            <w:tcW w:w="1275"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建筑工程</w:t>
            </w:r>
          </w:p>
        </w:tc>
        <w:tc>
          <w:tcPr>
            <w:tcW w:w="5705" w:type="dxa"/>
            <w:vMerge w:val="restart"/>
            <w:shd w:val="clear" w:color="auto" w:fill="auto"/>
            <w:vAlign w:val="center"/>
          </w:tcPr>
          <w:p w:rsidR="00856B3A" w:rsidRDefault="00226B7B">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土木工程，水利工程，岩土工程，市政工程，交通工程，结构工程，给排水科学与工程，建筑工程，建筑装饰工程等</w:t>
            </w:r>
          </w:p>
        </w:tc>
        <w:tc>
          <w:tcPr>
            <w:tcW w:w="851" w:type="dxa"/>
            <w:vMerge w:val="restart"/>
            <w:shd w:val="clear" w:color="auto" w:fill="auto"/>
            <w:vAlign w:val="center"/>
          </w:tcPr>
          <w:p w:rsidR="00856B3A" w:rsidRDefault="00226B7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r>
      <w:tr w:rsidR="00856B3A">
        <w:trPr>
          <w:trHeight w:val="312"/>
          <w:jc w:val="center"/>
        </w:trPr>
        <w:tc>
          <w:tcPr>
            <w:tcW w:w="851" w:type="dxa"/>
            <w:vMerge/>
            <w:vAlign w:val="center"/>
          </w:tcPr>
          <w:p w:rsidR="00856B3A" w:rsidRDefault="00856B3A">
            <w:pPr>
              <w:widowControl/>
              <w:jc w:val="center"/>
              <w:rPr>
                <w:rFonts w:ascii="仿宋_GB2312" w:eastAsia="仿宋_GB2312" w:hAnsi="宋体" w:cs="宋体"/>
                <w:kern w:val="0"/>
                <w:sz w:val="24"/>
                <w:szCs w:val="24"/>
              </w:rPr>
            </w:pPr>
          </w:p>
        </w:tc>
        <w:tc>
          <w:tcPr>
            <w:tcW w:w="1275" w:type="dxa"/>
            <w:vMerge/>
            <w:vAlign w:val="center"/>
          </w:tcPr>
          <w:p w:rsidR="00856B3A" w:rsidRDefault="00856B3A">
            <w:pPr>
              <w:widowControl/>
              <w:jc w:val="center"/>
              <w:rPr>
                <w:rFonts w:ascii="仿宋_GB2312" w:eastAsia="仿宋_GB2312" w:hAnsi="宋体" w:cs="宋体"/>
                <w:kern w:val="0"/>
                <w:sz w:val="24"/>
                <w:szCs w:val="24"/>
              </w:rPr>
            </w:pPr>
          </w:p>
        </w:tc>
        <w:tc>
          <w:tcPr>
            <w:tcW w:w="5705" w:type="dxa"/>
            <w:vMerge/>
            <w:vAlign w:val="center"/>
          </w:tcPr>
          <w:p w:rsidR="00856B3A" w:rsidRDefault="00856B3A">
            <w:pPr>
              <w:widowControl/>
              <w:jc w:val="center"/>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kern w:val="0"/>
                <w:sz w:val="24"/>
                <w:szCs w:val="24"/>
              </w:rPr>
            </w:pPr>
          </w:p>
        </w:tc>
      </w:tr>
      <w:tr w:rsidR="00856B3A">
        <w:trPr>
          <w:trHeight w:val="312"/>
          <w:jc w:val="center"/>
        </w:trPr>
        <w:tc>
          <w:tcPr>
            <w:tcW w:w="851" w:type="dxa"/>
            <w:vMerge/>
            <w:vAlign w:val="center"/>
          </w:tcPr>
          <w:p w:rsidR="00856B3A" w:rsidRDefault="00856B3A">
            <w:pPr>
              <w:widowControl/>
              <w:jc w:val="center"/>
              <w:rPr>
                <w:rFonts w:ascii="仿宋_GB2312" w:eastAsia="仿宋_GB2312" w:hAnsi="宋体" w:cs="宋体"/>
                <w:kern w:val="0"/>
                <w:sz w:val="24"/>
                <w:szCs w:val="24"/>
              </w:rPr>
            </w:pPr>
          </w:p>
        </w:tc>
        <w:tc>
          <w:tcPr>
            <w:tcW w:w="1275" w:type="dxa"/>
            <w:vMerge/>
            <w:vAlign w:val="center"/>
          </w:tcPr>
          <w:p w:rsidR="00856B3A" w:rsidRDefault="00856B3A">
            <w:pPr>
              <w:widowControl/>
              <w:jc w:val="center"/>
              <w:rPr>
                <w:rFonts w:ascii="仿宋_GB2312" w:eastAsia="仿宋_GB2312" w:hAnsi="宋体" w:cs="宋体"/>
                <w:kern w:val="0"/>
                <w:sz w:val="24"/>
                <w:szCs w:val="24"/>
              </w:rPr>
            </w:pPr>
          </w:p>
        </w:tc>
        <w:tc>
          <w:tcPr>
            <w:tcW w:w="5705" w:type="dxa"/>
            <w:vMerge/>
            <w:vAlign w:val="center"/>
          </w:tcPr>
          <w:p w:rsidR="00856B3A" w:rsidRDefault="00856B3A">
            <w:pPr>
              <w:widowControl/>
              <w:jc w:val="center"/>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kern w:val="0"/>
                <w:sz w:val="24"/>
                <w:szCs w:val="24"/>
              </w:rPr>
            </w:pPr>
          </w:p>
        </w:tc>
      </w:tr>
      <w:tr w:rsidR="00856B3A">
        <w:trPr>
          <w:trHeight w:val="312"/>
          <w:jc w:val="center"/>
        </w:trPr>
        <w:tc>
          <w:tcPr>
            <w:tcW w:w="851" w:type="dxa"/>
            <w:vMerge/>
            <w:vAlign w:val="center"/>
          </w:tcPr>
          <w:p w:rsidR="00856B3A" w:rsidRDefault="00856B3A">
            <w:pPr>
              <w:widowControl/>
              <w:jc w:val="center"/>
              <w:rPr>
                <w:rFonts w:ascii="仿宋_GB2312" w:eastAsia="仿宋_GB2312" w:hAnsi="宋体" w:cs="宋体"/>
                <w:kern w:val="0"/>
                <w:sz w:val="24"/>
                <w:szCs w:val="24"/>
              </w:rPr>
            </w:pPr>
          </w:p>
        </w:tc>
        <w:tc>
          <w:tcPr>
            <w:tcW w:w="1275" w:type="dxa"/>
            <w:vMerge/>
            <w:vAlign w:val="center"/>
          </w:tcPr>
          <w:p w:rsidR="00856B3A" w:rsidRDefault="00856B3A">
            <w:pPr>
              <w:widowControl/>
              <w:jc w:val="center"/>
              <w:rPr>
                <w:rFonts w:ascii="仿宋_GB2312" w:eastAsia="仿宋_GB2312" w:hAnsi="宋体" w:cs="宋体"/>
                <w:kern w:val="0"/>
                <w:sz w:val="24"/>
                <w:szCs w:val="24"/>
              </w:rPr>
            </w:pPr>
          </w:p>
        </w:tc>
        <w:tc>
          <w:tcPr>
            <w:tcW w:w="5705" w:type="dxa"/>
            <w:vMerge/>
            <w:vAlign w:val="center"/>
          </w:tcPr>
          <w:p w:rsidR="00856B3A" w:rsidRDefault="00856B3A">
            <w:pPr>
              <w:widowControl/>
              <w:jc w:val="center"/>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kern w:val="0"/>
                <w:sz w:val="24"/>
                <w:szCs w:val="24"/>
              </w:rPr>
            </w:pPr>
          </w:p>
        </w:tc>
      </w:tr>
      <w:tr w:rsidR="00856B3A">
        <w:trPr>
          <w:trHeight w:val="312"/>
          <w:jc w:val="center"/>
        </w:trPr>
        <w:tc>
          <w:tcPr>
            <w:tcW w:w="851" w:type="dxa"/>
            <w:vMerge/>
            <w:vAlign w:val="center"/>
          </w:tcPr>
          <w:p w:rsidR="00856B3A" w:rsidRDefault="00856B3A">
            <w:pPr>
              <w:widowControl/>
              <w:jc w:val="center"/>
              <w:rPr>
                <w:rFonts w:ascii="仿宋_GB2312" w:eastAsia="仿宋_GB2312" w:hAnsi="宋体" w:cs="宋体"/>
                <w:kern w:val="0"/>
                <w:sz w:val="24"/>
                <w:szCs w:val="24"/>
              </w:rPr>
            </w:pPr>
          </w:p>
        </w:tc>
        <w:tc>
          <w:tcPr>
            <w:tcW w:w="1275" w:type="dxa"/>
            <w:vMerge/>
            <w:vAlign w:val="center"/>
          </w:tcPr>
          <w:p w:rsidR="00856B3A" w:rsidRDefault="00856B3A">
            <w:pPr>
              <w:widowControl/>
              <w:jc w:val="center"/>
              <w:rPr>
                <w:rFonts w:ascii="仿宋_GB2312" w:eastAsia="仿宋_GB2312" w:hAnsi="宋体" w:cs="宋体"/>
                <w:kern w:val="0"/>
                <w:sz w:val="24"/>
                <w:szCs w:val="24"/>
              </w:rPr>
            </w:pPr>
          </w:p>
        </w:tc>
        <w:tc>
          <w:tcPr>
            <w:tcW w:w="5705" w:type="dxa"/>
            <w:vMerge/>
            <w:vAlign w:val="center"/>
          </w:tcPr>
          <w:p w:rsidR="00856B3A" w:rsidRDefault="00856B3A">
            <w:pPr>
              <w:widowControl/>
              <w:jc w:val="center"/>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kern w:val="0"/>
                <w:sz w:val="24"/>
                <w:szCs w:val="24"/>
              </w:rPr>
            </w:pPr>
          </w:p>
        </w:tc>
      </w:tr>
      <w:tr w:rsidR="00856B3A">
        <w:trPr>
          <w:trHeight w:val="312"/>
          <w:jc w:val="center"/>
        </w:trPr>
        <w:tc>
          <w:tcPr>
            <w:tcW w:w="851" w:type="dxa"/>
            <w:vMerge/>
            <w:vAlign w:val="center"/>
          </w:tcPr>
          <w:p w:rsidR="00856B3A" w:rsidRDefault="00856B3A">
            <w:pPr>
              <w:widowControl/>
              <w:jc w:val="center"/>
              <w:rPr>
                <w:rFonts w:ascii="仿宋_GB2312" w:eastAsia="仿宋_GB2312" w:hAnsi="宋体" w:cs="宋体"/>
                <w:kern w:val="0"/>
                <w:sz w:val="24"/>
                <w:szCs w:val="24"/>
              </w:rPr>
            </w:pPr>
          </w:p>
        </w:tc>
        <w:tc>
          <w:tcPr>
            <w:tcW w:w="1275" w:type="dxa"/>
            <w:vMerge/>
            <w:vAlign w:val="center"/>
          </w:tcPr>
          <w:p w:rsidR="00856B3A" w:rsidRDefault="00856B3A">
            <w:pPr>
              <w:widowControl/>
              <w:jc w:val="center"/>
              <w:rPr>
                <w:rFonts w:ascii="仿宋_GB2312" w:eastAsia="仿宋_GB2312" w:hAnsi="宋体" w:cs="宋体"/>
                <w:kern w:val="0"/>
                <w:sz w:val="24"/>
                <w:szCs w:val="24"/>
              </w:rPr>
            </w:pPr>
          </w:p>
        </w:tc>
        <w:tc>
          <w:tcPr>
            <w:tcW w:w="5705" w:type="dxa"/>
            <w:vMerge/>
            <w:vAlign w:val="center"/>
          </w:tcPr>
          <w:p w:rsidR="00856B3A" w:rsidRDefault="00856B3A">
            <w:pPr>
              <w:widowControl/>
              <w:jc w:val="center"/>
              <w:rPr>
                <w:rFonts w:ascii="仿宋_GB2312" w:eastAsia="仿宋_GB2312" w:hAnsi="宋体" w:cs="宋体"/>
                <w:kern w:val="0"/>
                <w:sz w:val="24"/>
                <w:szCs w:val="24"/>
              </w:rPr>
            </w:pPr>
          </w:p>
        </w:tc>
        <w:tc>
          <w:tcPr>
            <w:tcW w:w="851" w:type="dxa"/>
            <w:vMerge/>
            <w:vAlign w:val="center"/>
          </w:tcPr>
          <w:p w:rsidR="00856B3A" w:rsidRDefault="00856B3A">
            <w:pPr>
              <w:widowControl/>
              <w:jc w:val="center"/>
              <w:rPr>
                <w:rFonts w:ascii="仿宋_GB2312" w:eastAsia="仿宋_GB2312" w:hAnsi="宋体" w:cs="宋体"/>
                <w:kern w:val="0"/>
                <w:sz w:val="24"/>
                <w:szCs w:val="24"/>
              </w:rPr>
            </w:pPr>
          </w:p>
        </w:tc>
      </w:tr>
    </w:tbl>
    <w:p w:rsidR="00856B3A" w:rsidRPr="002D103D" w:rsidRDefault="00226B7B">
      <w:pPr>
        <w:widowControl/>
        <w:spacing w:line="560" w:lineRule="exact"/>
        <w:ind w:firstLine="643"/>
        <w:jc w:val="left"/>
        <w:outlineLvl w:val="0"/>
        <w:rPr>
          <w:rFonts w:ascii="黑体" w:eastAsia="黑体" w:hAnsi="宋体" w:cs="宋体"/>
          <w:bCs/>
          <w:kern w:val="0"/>
          <w:sz w:val="32"/>
          <w:szCs w:val="32"/>
        </w:rPr>
      </w:pPr>
      <w:r w:rsidRPr="002D103D">
        <w:rPr>
          <w:rFonts w:ascii="黑体" w:eastAsia="黑体" w:hAnsi="宋体" w:cs="宋体" w:hint="eastAsia"/>
          <w:bCs/>
          <w:kern w:val="0"/>
          <w:sz w:val="32"/>
          <w:szCs w:val="32"/>
        </w:rPr>
        <w:t>四、招聘对象</w:t>
      </w:r>
    </w:p>
    <w:p w:rsidR="00856B3A" w:rsidRDefault="00226B7B">
      <w:pPr>
        <w:widowControl/>
        <w:spacing w:line="560" w:lineRule="exact"/>
        <w:ind w:firstLine="643"/>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社会在职人员、2019年应届毕业生。</w:t>
      </w:r>
    </w:p>
    <w:p w:rsidR="00856B3A" w:rsidRPr="002D103D" w:rsidRDefault="00226B7B">
      <w:pPr>
        <w:widowControl/>
        <w:spacing w:line="560" w:lineRule="exact"/>
        <w:ind w:firstLine="643"/>
        <w:jc w:val="left"/>
        <w:outlineLvl w:val="0"/>
        <w:rPr>
          <w:rFonts w:ascii="黑体" w:eastAsia="黑体" w:hAnsi="宋体" w:cs="宋体"/>
          <w:bCs/>
          <w:kern w:val="0"/>
          <w:sz w:val="32"/>
          <w:szCs w:val="32"/>
        </w:rPr>
      </w:pPr>
      <w:r w:rsidRPr="002D103D">
        <w:rPr>
          <w:rFonts w:ascii="黑体" w:eastAsia="黑体" w:hAnsi="宋体" w:cs="宋体" w:hint="eastAsia"/>
          <w:bCs/>
          <w:kern w:val="0"/>
          <w:sz w:val="32"/>
          <w:szCs w:val="32"/>
        </w:rPr>
        <w:t>五、招聘条件</w:t>
      </w:r>
    </w:p>
    <w:p w:rsidR="00856B3A" w:rsidRDefault="00226B7B">
      <w:pPr>
        <w:widowControl/>
        <w:spacing w:line="560" w:lineRule="exact"/>
        <w:ind w:firstLine="643"/>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（一）热爱知识产权事业，具有良好的品行和胜任岗位要求的工作能力；</w:t>
      </w:r>
    </w:p>
    <w:p w:rsidR="00856B3A" w:rsidRDefault="00226B7B">
      <w:pPr>
        <w:widowControl/>
        <w:spacing w:line="560" w:lineRule="exact"/>
        <w:ind w:firstLine="643"/>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（二）身体健康，年龄35岁以下，特别优秀者可适当放宽。</w:t>
      </w:r>
    </w:p>
    <w:p w:rsidR="00856B3A" w:rsidRDefault="00226B7B">
      <w:pPr>
        <w:widowControl/>
        <w:spacing w:line="560" w:lineRule="exact"/>
        <w:ind w:firstLine="643"/>
        <w:jc w:val="left"/>
        <w:outlineLvl w:val="0"/>
        <w:rPr>
          <w:rFonts w:ascii="仿宋_GB2312" w:eastAsia="仿宋_GB2312" w:hAnsi="Times New Roman" w:cs="Times New Roman"/>
          <w:sz w:val="32"/>
          <w:szCs w:val="32"/>
        </w:rPr>
      </w:pPr>
      <w:r>
        <w:rPr>
          <w:rFonts w:ascii="仿宋_GB2312" w:eastAsia="仿宋_GB2312" w:hAnsi="宋体" w:cs="宋体" w:hint="eastAsia"/>
          <w:kern w:val="0"/>
          <w:sz w:val="32"/>
          <w:szCs w:val="32"/>
        </w:rPr>
        <w:t>（三）全日制</w:t>
      </w:r>
      <w:r>
        <w:rPr>
          <w:rFonts w:ascii="仿宋_GB2312" w:eastAsia="仿宋_GB2312" w:hAnsi="Times New Roman" w:cs="Times New Roman" w:hint="eastAsia"/>
          <w:sz w:val="32"/>
          <w:szCs w:val="32"/>
        </w:rPr>
        <w:t>理工科硕士以上学历并取得相应学位，统招统分，英语六级或具有相当水平。</w:t>
      </w:r>
    </w:p>
    <w:p w:rsidR="00856B3A" w:rsidRDefault="00226B7B">
      <w:pPr>
        <w:widowControl/>
        <w:spacing w:line="560" w:lineRule="exact"/>
        <w:ind w:firstLine="643"/>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（四）全日制理工科本科以上学历并取得相应学位，统招统分，英语四级以上或具有相当水平，2年以上相关技术工作经验。</w:t>
      </w:r>
    </w:p>
    <w:p w:rsidR="00856B3A" w:rsidRPr="002D103D" w:rsidRDefault="00226B7B" w:rsidP="002D103D">
      <w:pPr>
        <w:widowControl/>
        <w:spacing w:line="560" w:lineRule="exact"/>
        <w:ind w:firstLineChars="225" w:firstLine="720"/>
        <w:jc w:val="left"/>
        <w:rPr>
          <w:rFonts w:ascii="黑体" w:eastAsia="黑体" w:hAnsi="宋体" w:cs="宋体"/>
          <w:bCs/>
          <w:kern w:val="0"/>
          <w:sz w:val="32"/>
          <w:szCs w:val="32"/>
        </w:rPr>
      </w:pPr>
      <w:r w:rsidRPr="002D103D">
        <w:rPr>
          <w:rFonts w:ascii="黑体" w:eastAsia="黑体" w:hAnsi="宋体" w:cs="宋体" w:hint="eastAsia"/>
          <w:bCs/>
          <w:kern w:val="0"/>
          <w:sz w:val="32"/>
          <w:szCs w:val="32"/>
        </w:rPr>
        <w:t>六、招聘流程</w:t>
      </w:r>
    </w:p>
    <w:p w:rsidR="00856B3A" w:rsidRDefault="00226B7B">
      <w:pPr>
        <w:widowControl/>
        <w:spacing w:line="560" w:lineRule="exact"/>
        <w:ind w:firstLineChars="225" w:firstLine="7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包括报名、测评、笔试、面试、复试、体检和公示录用。招聘拟分批进行，招满为止。</w:t>
      </w:r>
    </w:p>
    <w:p w:rsidR="00856B3A" w:rsidRDefault="00226B7B">
      <w:pPr>
        <w:widowControl/>
        <w:spacing w:line="560" w:lineRule="exact"/>
        <w:ind w:firstLineChars="225" w:firstLine="7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关于招聘的进展情况及笔试、面试等通知，我们将及时通过邮件、短信及北京中心网站www.patentexam.com.cn予以发布，请及时关注并保持邮箱及手机畅通。</w:t>
      </w:r>
    </w:p>
    <w:p w:rsidR="00856B3A" w:rsidRDefault="00226B7B">
      <w:pPr>
        <w:widowControl/>
        <w:spacing w:line="560" w:lineRule="exact"/>
        <w:ind w:firstLine="643"/>
        <w:jc w:val="left"/>
        <w:outlineLvl w:val="0"/>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（一）报名</w:t>
      </w:r>
    </w:p>
    <w:p w:rsidR="00856B3A" w:rsidRDefault="00226B7B">
      <w:pPr>
        <w:widowControl/>
        <w:spacing w:line="560" w:lineRule="exact"/>
        <w:ind w:firstLine="643"/>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请登录专利审查协作中心公共招聘平台http://pecc.zhiye.com进行报名，每人限报考一个职位，仅接收网上报名，其他方式无效。</w:t>
      </w:r>
    </w:p>
    <w:p w:rsidR="00856B3A" w:rsidRDefault="00226B7B">
      <w:pPr>
        <w:widowControl/>
        <w:spacing w:line="560" w:lineRule="exact"/>
        <w:ind w:firstLine="643"/>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（二）测评</w:t>
      </w:r>
    </w:p>
    <w:p w:rsidR="00856B3A" w:rsidRDefault="00226B7B">
      <w:pPr>
        <w:widowControl/>
        <w:spacing w:line="560" w:lineRule="exact"/>
        <w:ind w:firstLine="643"/>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报名人员提交个人信息后，须在</w:t>
      </w:r>
      <w:r>
        <w:rPr>
          <w:rFonts w:ascii="仿宋_GB2312" w:eastAsia="仿宋_GB2312" w:hAnsi="宋体" w:cs="宋体"/>
          <w:kern w:val="0"/>
          <w:sz w:val="32"/>
          <w:szCs w:val="32"/>
        </w:rPr>
        <w:t>48</w:t>
      </w:r>
      <w:r>
        <w:rPr>
          <w:rFonts w:ascii="仿宋_GB2312" w:eastAsia="仿宋_GB2312" w:hAnsi="宋体" w:cs="宋体" w:hint="eastAsia"/>
          <w:kern w:val="0"/>
          <w:sz w:val="32"/>
          <w:szCs w:val="32"/>
        </w:rPr>
        <w:t>小时内完成测评。</w:t>
      </w:r>
    </w:p>
    <w:p w:rsidR="00856B3A" w:rsidRDefault="00226B7B">
      <w:pPr>
        <w:widowControl/>
        <w:spacing w:line="560" w:lineRule="exact"/>
        <w:ind w:firstLine="643"/>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（三）笔试</w:t>
      </w:r>
    </w:p>
    <w:p w:rsidR="00856B3A" w:rsidRDefault="00226B7B">
      <w:pPr>
        <w:widowControl/>
        <w:spacing w:line="560" w:lineRule="exact"/>
        <w:ind w:leftChars="266" w:left="559"/>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1.笔试时间：初步定于2018年11月组织第一批笔试。</w:t>
      </w:r>
    </w:p>
    <w:p w:rsidR="00856B3A" w:rsidRDefault="00226B7B">
      <w:pPr>
        <w:widowControl/>
        <w:spacing w:line="560" w:lineRule="exact"/>
        <w:ind w:leftChars="266" w:left="559"/>
        <w:jc w:val="left"/>
        <w:rPr>
          <w:rFonts w:ascii="仿宋_GB2312" w:eastAsia="仿宋_GB2312" w:hAnsi="宋体" w:cs="宋体"/>
          <w:kern w:val="0"/>
          <w:sz w:val="32"/>
          <w:szCs w:val="32"/>
        </w:rPr>
      </w:pPr>
      <w:r>
        <w:rPr>
          <w:rFonts w:ascii="仿宋_GB2312" w:eastAsia="仿宋_GB2312" w:hAnsi="宋体" w:cs="宋体" w:hint="eastAsia"/>
          <w:kern w:val="0"/>
          <w:sz w:val="32"/>
          <w:szCs w:val="32"/>
        </w:rPr>
        <w:t>2.笔试地点：拟在北京、福州进行。</w:t>
      </w:r>
    </w:p>
    <w:p w:rsidR="00856B3A" w:rsidRDefault="00226B7B">
      <w:pPr>
        <w:widowControl/>
        <w:spacing w:line="560" w:lineRule="exact"/>
        <w:ind w:leftChars="266" w:left="559"/>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具体时间及地点请及时关注网站通知。</w:t>
      </w:r>
    </w:p>
    <w:p w:rsidR="00856B3A" w:rsidRDefault="00226B7B">
      <w:pPr>
        <w:widowControl/>
        <w:spacing w:line="560" w:lineRule="exact"/>
        <w:ind w:leftChars="266" w:left="559"/>
        <w:jc w:val="left"/>
        <w:rPr>
          <w:rFonts w:ascii="楷体_GB2312" w:eastAsia="楷体_GB2312" w:hAnsi="宋体" w:cs="宋体"/>
          <w:kern w:val="0"/>
          <w:sz w:val="32"/>
          <w:szCs w:val="32"/>
        </w:rPr>
      </w:pPr>
      <w:r>
        <w:rPr>
          <w:rFonts w:ascii="楷体_GB2312" w:eastAsia="楷体_GB2312" w:hAnsi="宋体" w:cs="宋体" w:hint="eastAsia"/>
          <w:b/>
          <w:bCs/>
          <w:kern w:val="0"/>
          <w:sz w:val="32"/>
          <w:szCs w:val="32"/>
        </w:rPr>
        <w:t>（四）面试</w:t>
      </w:r>
    </w:p>
    <w:p w:rsidR="00856B3A" w:rsidRDefault="00226B7B">
      <w:pPr>
        <w:widowControl/>
        <w:spacing w:line="560" w:lineRule="exact"/>
        <w:ind w:firstLine="5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应聘人员须携带本人身份证、英语等级证书、学历学位证书、获奖证书和个人能力证书等原件。</w:t>
      </w:r>
    </w:p>
    <w:p w:rsidR="00856B3A" w:rsidRDefault="00226B7B">
      <w:pPr>
        <w:widowControl/>
        <w:spacing w:line="560" w:lineRule="exact"/>
        <w:ind w:firstLine="562"/>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（五）复试、体检和公示录用</w:t>
      </w:r>
    </w:p>
    <w:p w:rsidR="00856B3A" w:rsidRDefault="00226B7B">
      <w:pPr>
        <w:widowControl/>
        <w:spacing w:line="560" w:lineRule="exact"/>
        <w:ind w:firstLine="5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根据笔面试、复试和体检结果，确定拟录用人员名单，公示无异议的，办理录用手续。</w:t>
      </w:r>
    </w:p>
    <w:p w:rsidR="00856B3A" w:rsidRDefault="00226B7B">
      <w:pPr>
        <w:widowControl/>
        <w:spacing w:line="560" w:lineRule="exact"/>
        <w:ind w:firstLine="562"/>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（六）其他</w:t>
      </w:r>
    </w:p>
    <w:p w:rsidR="00856B3A" w:rsidRDefault="00226B7B">
      <w:pPr>
        <w:widowControl/>
        <w:spacing w:line="560" w:lineRule="exact"/>
        <w:ind w:firstLine="5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报名人员须按要求提交相关材料，且提交的相关信息和材料应当真实、准确，若提供虚假信息，一经查实，取消录用资格。</w:t>
      </w:r>
    </w:p>
    <w:p w:rsidR="00856B3A" w:rsidRPr="002D103D" w:rsidRDefault="00226B7B">
      <w:pPr>
        <w:widowControl/>
        <w:spacing w:line="560" w:lineRule="exact"/>
        <w:ind w:firstLine="562"/>
        <w:jc w:val="left"/>
        <w:rPr>
          <w:rFonts w:ascii="黑体" w:eastAsia="黑体" w:hAnsi="黑体" w:cs="宋体"/>
          <w:bCs/>
          <w:kern w:val="0"/>
          <w:sz w:val="32"/>
          <w:szCs w:val="32"/>
        </w:rPr>
      </w:pPr>
      <w:r w:rsidRPr="002D103D">
        <w:rPr>
          <w:rFonts w:ascii="黑体" w:eastAsia="黑体" w:hAnsi="宋体" w:cs="宋体" w:hint="eastAsia"/>
          <w:bCs/>
          <w:kern w:val="0"/>
          <w:sz w:val="32"/>
          <w:szCs w:val="32"/>
        </w:rPr>
        <w:t>七、</w:t>
      </w:r>
      <w:r w:rsidRPr="002D103D">
        <w:rPr>
          <w:rFonts w:ascii="黑体" w:eastAsia="黑体" w:hAnsi="黑体" w:cs="宋体" w:hint="eastAsia"/>
          <w:bCs/>
          <w:kern w:val="0"/>
          <w:sz w:val="32"/>
          <w:szCs w:val="32"/>
        </w:rPr>
        <w:t>待遇</w:t>
      </w:r>
    </w:p>
    <w:p w:rsidR="00856B3A" w:rsidRDefault="00226B7B">
      <w:pPr>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在福建分中心获批成为具有独立法人资格的事业单位之前，暂通过福州市劳务派遣有限公司采取劳务派遣的方式进行用人。被录用人员的工资和福利待遇将参照事业单位的相关规定执行。</w:t>
      </w:r>
    </w:p>
    <w:p w:rsidR="002D103D" w:rsidRPr="002D103D" w:rsidRDefault="002D103D" w:rsidP="002D103D">
      <w:pPr>
        <w:widowControl/>
        <w:spacing w:line="560" w:lineRule="exact"/>
        <w:ind w:firstLine="562"/>
        <w:jc w:val="left"/>
        <w:rPr>
          <w:rFonts w:ascii="黑体" w:eastAsia="黑体" w:hAnsi="宋体" w:cs="宋体"/>
          <w:bCs/>
          <w:kern w:val="0"/>
          <w:sz w:val="32"/>
          <w:szCs w:val="32"/>
        </w:rPr>
      </w:pPr>
      <w:r w:rsidRPr="002D103D">
        <w:rPr>
          <w:rFonts w:ascii="黑体" w:eastAsia="黑体" w:hAnsi="宋体" w:cs="宋体" w:hint="eastAsia"/>
          <w:bCs/>
          <w:kern w:val="0"/>
          <w:sz w:val="32"/>
          <w:szCs w:val="32"/>
        </w:rPr>
        <w:t>八、联系方式</w:t>
      </w:r>
    </w:p>
    <w:p w:rsidR="002D103D" w:rsidRPr="002D103D" w:rsidRDefault="002D103D" w:rsidP="002D103D">
      <w:pPr>
        <w:ind w:firstLineChars="200" w:firstLine="640"/>
        <w:rPr>
          <w:rFonts w:ascii="仿宋_GB2312" w:eastAsia="仿宋_GB2312" w:hAnsi="宋体" w:cs="宋体"/>
          <w:bCs/>
          <w:color w:val="000000"/>
          <w:kern w:val="0"/>
          <w:sz w:val="32"/>
          <w:szCs w:val="32"/>
        </w:rPr>
      </w:pPr>
      <w:r w:rsidRPr="002D103D">
        <w:rPr>
          <w:rFonts w:ascii="仿宋_GB2312" w:eastAsia="仿宋_GB2312" w:hAnsi="宋体" w:cs="宋体" w:hint="eastAsia"/>
          <w:bCs/>
          <w:color w:val="000000"/>
          <w:kern w:val="0"/>
          <w:sz w:val="32"/>
          <w:szCs w:val="32"/>
        </w:rPr>
        <w:t>1</w:t>
      </w:r>
      <w:r w:rsidR="0011243B">
        <w:rPr>
          <w:rFonts w:ascii="仿宋_GB2312" w:eastAsia="仿宋_GB2312" w:hAnsi="宋体" w:cs="宋体" w:hint="eastAsia"/>
          <w:bCs/>
          <w:color w:val="000000"/>
          <w:kern w:val="0"/>
          <w:sz w:val="32"/>
          <w:szCs w:val="32"/>
        </w:rPr>
        <w:t>.</w:t>
      </w:r>
      <w:r w:rsidRPr="002D103D">
        <w:rPr>
          <w:rFonts w:ascii="仿宋_GB2312" w:eastAsia="仿宋_GB2312" w:hAnsi="宋体" w:cs="宋体" w:hint="eastAsia"/>
          <w:bCs/>
          <w:color w:val="000000"/>
          <w:kern w:val="0"/>
          <w:sz w:val="32"/>
          <w:szCs w:val="32"/>
        </w:rPr>
        <w:t>联系地址：福州市海西高新技术产业园高新大道11号</w:t>
      </w:r>
    </w:p>
    <w:p w:rsidR="002D103D" w:rsidRPr="002D103D" w:rsidRDefault="002D103D" w:rsidP="002D103D">
      <w:pPr>
        <w:ind w:firstLineChars="200" w:firstLine="640"/>
        <w:rPr>
          <w:rFonts w:ascii="仿宋_GB2312" w:eastAsia="仿宋_GB2312" w:hAnsi="宋体" w:cs="宋体"/>
          <w:bCs/>
          <w:color w:val="000000"/>
          <w:kern w:val="0"/>
          <w:sz w:val="32"/>
          <w:szCs w:val="32"/>
        </w:rPr>
      </w:pPr>
      <w:r w:rsidRPr="002D103D">
        <w:rPr>
          <w:rFonts w:ascii="仿宋_GB2312" w:eastAsia="仿宋_GB2312" w:hAnsi="宋体" w:cs="宋体" w:hint="eastAsia"/>
          <w:bCs/>
          <w:color w:val="000000"/>
          <w:kern w:val="0"/>
          <w:sz w:val="32"/>
          <w:szCs w:val="32"/>
        </w:rPr>
        <w:t>2</w:t>
      </w:r>
      <w:r w:rsidR="0011243B">
        <w:rPr>
          <w:rFonts w:ascii="仿宋_GB2312" w:eastAsia="仿宋_GB2312" w:hAnsi="宋体" w:cs="宋体" w:hint="eastAsia"/>
          <w:bCs/>
          <w:color w:val="000000"/>
          <w:kern w:val="0"/>
          <w:sz w:val="32"/>
          <w:szCs w:val="32"/>
        </w:rPr>
        <w:t>.</w:t>
      </w:r>
      <w:r w:rsidRPr="002D103D">
        <w:rPr>
          <w:rFonts w:ascii="仿宋_GB2312" w:eastAsia="仿宋_GB2312" w:hAnsi="宋体" w:cs="宋体" w:hint="eastAsia"/>
          <w:bCs/>
          <w:color w:val="000000"/>
          <w:kern w:val="0"/>
          <w:sz w:val="32"/>
          <w:szCs w:val="32"/>
        </w:rPr>
        <w:t>联系人：赵老师</w:t>
      </w:r>
      <w:r>
        <w:rPr>
          <w:rFonts w:ascii="仿宋_GB2312" w:eastAsia="仿宋_GB2312" w:hAnsi="宋体" w:cs="宋体" w:hint="eastAsia"/>
          <w:bCs/>
          <w:color w:val="000000"/>
          <w:kern w:val="0"/>
          <w:sz w:val="32"/>
          <w:szCs w:val="32"/>
        </w:rPr>
        <w:t>、李老师</w:t>
      </w:r>
    </w:p>
    <w:p w:rsidR="002D103D" w:rsidRPr="002D103D" w:rsidRDefault="002D103D" w:rsidP="002D103D">
      <w:pPr>
        <w:ind w:firstLineChars="200" w:firstLine="640"/>
        <w:rPr>
          <w:rFonts w:ascii="仿宋_GB2312" w:eastAsia="仿宋_GB2312" w:hAnsi="宋体" w:cs="宋体"/>
          <w:bCs/>
          <w:color w:val="000000"/>
          <w:kern w:val="0"/>
          <w:sz w:val="32"/>
          <w:szCs w:val="32"/>
        </w:rPr>
      </w:pPr>
      <w:r w:rsidRPr="002D103D">
        <w:rPr>
          <w:rFonts w:ascii="仿宋_GB2312" w:eastAsia="仿宋_GB2312" w:hAnsi="宋体" w:cs="宋体" w:hint="eastAsia"/>
          <w:bCs/>
          <w:color w:val="000000"/>
          <w:kern w:val="0"/>
          <w:sz w:val="32"/>
          <w:szCs w:val="32"/>
        </w:rPr>
        <w:t>3</w:t>
      </w:r>
      <w:r w:rsidR="0011243B">
        <w:rPr>
          <w:rFonts w:ascii="仿宋_GB2312" w:eastAsia="仿宋_GB2312" w:hAnsi="宋体" w:cs="宋体" w:hint="eastAsia"/>
          <w:bCs/>
          <w:color w:val="000000"/>
          <w:kern w:val="0"/>
          <w:sz w:val="32"/>
          <w:szCs w:val="32"/>
        </w:rPr>
        <w:t>.</w:t>
      </w:r>
      <w:r w:rsidRPr="002D103D">
        <w:rPr>
          <w:rFonts w:ascii="仿宋_GB2312" w:eastAsia="仿宋_GB2312" w:hAnsi="宋体" w:cs="宋体" w:hint="eastAsia"/>
          <w:bCs/>
          <w:color w:val="000000"/>
          <w:kern w:val="0"/>
          <w:sz w:val="32"/>
          <w:szCs w:val="32"/>
        </w:rPr>
        <w:t>联系电话：</w:t>
      </w:r>
      <w:r>
        <w:rPr>
          <w:rFonts w:ascii="仿宋_GB2312" w:eastAsia="仿宋_GB2312" w:hAnsi="宋体" w:cs="宋体" w:hint="eastAsia"/>
          <w:bCs/>
          <w:color w:val="000000"/>
          <w:kern w:val="0"/>
          <w:sz w:val="32"/>
          <w:szCs w:val="32"/>
        </w:rPr>
        <w:t>0591</w:t>
      </w:r>
      <w:r w:rsidRPr="002D103D">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87016120、0591</w:t>
      </w:r>
      <w:r w:rsidRPr="002D103D">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87016130</w:t>
      </w:r>
    </w:p>
    <w:p w:rsidR="00856B3A" w:rsidRPr="002D103D" w:rsidRDefault="002D103D" w:rsidP="002D103D">
      <w:pPr>
        <w:ind w:firstLineChars="200" w:firstLine="640"/>
        <w:rPr>
          <w:rFonts w:ascii="仿宋_GB2312" w:eastAsia="仿宋_GB2312" w:hAnsi="宋体" w:cs="宋体"/>
          <w:bCs/>
          <w:color w:val="000000"/>
          <w:kern w:val="0"/>
          <w:sz w:val="32"/>
          <w:szCs w:val="32"/>
        </w:rPr>
      </w:pPr>
      <w:r w:rsidRPr="002D103D">
        <w:rPr>
          <w:rFonts w:ascii="仿宋_GB2312" w:eastAsia="仿宋_GB2312" w:hAnsi="宋体" w:cs="宋体" w:hint="eastAsia"/>
          <w:bCs/>
          <w:color w:val="000000"/>
          <w:kern w:val="0"/>
          <w:sz w:val="32"/>
          <w:szCs w:val="32"/>
        </w:rPr>
        <w:t>4</w:t>
      </w:r>
      <w:r w:rsidR="0011243B">
        <w:rPr>
          <w:rFonts w:ascii="仿宋_GB2312" w:eastAsia="仿宋_GB2312" w:hAnsi="宋体" w:cs="宋体" w:hint="eastAsia"/>
          <w:bCs/>
          <w:color w:val="000000"/>
          <w:kern w:val="0"/>
          <w:sz w:val="32"/>
          <w:szCs w:val="32"/>
        </w:rPr>
        <w:t>.</w:t>
      </w:r>
      <w:r w:rsidRPr="002D103D">
        <w:rPr>
          <w:rFonts w:ascii="仿宋_GB2312" w:eastAsia="仿宋_GB2312" w:hAnsi="宋体" w:cs="宋体" w:hint="eastAsia"/>
          <w:bCs/>
          <w:color w:val="000000"/>
          <w:kern w:val="0"/>
          <w:sz w:val="32"/>
          <w:szCs w:val="32"/>
        </w:rPr>
        <w:t>联系邮箱：sxfjzp@sipo.gov.cn</w:t>
      </w:r>
    </w:p>
    <w:p w:rsidR="00856B3A" w:rsidRDefault="00856B3A">
      <w:pPr>
        <w:widowControl/>
        <w:spacing w:line="560" w:lineRule="exact"/>
        <w:ind w:firstLine="562"/>
        <w:jc w:val="left"/>
        <w:rPr>
          <w:rFonts w:ascii="仿宋_GB2312" w:eastAsia="仿宋_GB2312" w:hAnsi="Times New Roman" w:cs="Times New Roman"/>
          <w:sz w:val="32"/>
          <w:szCs w:val="32"/>
        </w:rPr>
      </w:pPr>
    </w:p>
    <w:p w:rsidR="00856B3A" w:rsidRDefault="00226B7B">
      <w:pPr>
        <w:widowControl/>
        <w:wordWrap w:val="0"/>
        <w:spacing w:line="560" w:lineRule="exact"/>
        <w:ind w:firstLineChars="200" w:firstLine="640"/>
        <w:jc w:val="right"/>
        <w:rPr>
          <w:rFonts w:ascii="仿宋_GB2312" w:eastAsia="仿宋_GB2312" w:cs="仿宋_GB2312"/>
          <w:sz w:val="32"/>
          <w:szCs w:val="32"/>
        </w:rPr>
      </w:pPr>
      <w:r>
        <w:rPr>
          <w:rFonts w:ascii="仿宋_GB2312" w:eastAsia="仿宋_GB2312" w:cs="仿宋_GB2312" w:hint="eastAsia"/>
          <w:sz w:val="32"/>
          <w:szCs w:val="32"/>
        </w:rPr>
        <w:lastRenderedPageBreak/>
        <w:t xml:space="preserve">  专利审查协作北京中心福建分中心</w:t>
      </w:r>
    </w:p>
    <w:p w:rsidR="00856B3A" w:rsidRDefault="00226B7B">
      <w:pPr>
        <w:widowControl/>
        <w:spacing w:line="560" w:lineRule="exact"/>
        <w:ind w:right="640" w:firstLine="562"/>
        <w:jc w:val="center"/>
        <w:rPr>
          <w:rFonts w:ascii="仿宋_GB2312" w:eastAsia="仿宋_GB2312" w:hAnsi="宋体" w:cs="宋体"/>
          <w:kern w:val="0"/>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2018年</w:t>
      </w:r>
      <w:r>
        <w:rPr>
          <w:rFonts w:ascii="仿宋_GB2312" w:eastAsia="仿宋_GB2312" w:cs="仿宋_GB2312"/>
          <w:sz w:val="32"/>
          <w:szCs w:val="32"/>
        </w:rPr>
        <w:t>9</w:t>
      </w:r>
      <w:r>
        <w:rPr>
          <w:rFonts w:ascii="仿宋_GB2312" w:eastAsia="仿宋_GB2312" w:cs="仿宋_GB2312" w:hint="eastAsia"/>
          <w:sz w:val="32"/>
          <w:szCs w:val="32"/>
        </w:rPr>
        <w:t>月</w:t>
      </w:r>
      <w:r w:rsidR="008F7001">
        <w:rPr>
          <w:rFonts w:ascii="仿宋_GB2312" w:eastAsia="仿宋_GB2312" w:cs="仿宋_GB2312" w:hint="eastAsia"/>
          <w:sz w:val="32"/>
          <w:szCs w:val="32"/>
        </w:rPr>
        <w:t>2</w:t>
      </w:r>
      <w:r w:rsidR="009F5CDE">
        <w:rPr>
          <w:rFonts w:ascii="仿宋_GB2312" w:eastAsia="仿宋_GB2312" w:cs="仿宋_GB2312"/>
          <w:sz w:val="32"/>
          <w:szCs w:val="32"/>
        </w:rPr>
        <w:t>5</w:t>
      </w:r>
      <w:bookmarkStart w:id="0" w:name="_GoBack"/>
      <w:bookmarkEnd w:id="0"/>
      <w:r>
        <w:rPr>
          <w:rFonts w:ascii="仿宋_GB2312" w:eastAsia="仿宋_GB2312" w:cs="仿宋_GB2312" w:hint="eastAsia"/>
          <w:sz w:val="32"/>
          <w:szCs w:val="32"/>
        </w:rPr>
        <w:t>日</w:t>
      </w:r>
    </w:p>
    <w:sectPr w:rsidR="00856B3A" w:rsidSect="00856B3A">
      <w:footerReference w:type="default" r:id="rId8"/>
      <w:pgSz w:w="11906" w:h="16838"/>
      <w:pgMar w:top="2155"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A1" w:rsidRDefault="00E83BA1" w:rsidP="00856B3A">
      <w:r>
        <w:separator/>
      </w:r>
    </w:p>
  </w:endnote>
  <w:endnote w:type="continuationSeparator" w:id="0">
    <w:p w:rsidR="00E83BA1" w:rsidRDefault="00E83BA1" w:rsidP="0085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3A" w:rsidRDefault="009F12B2">
    <w:pPr>
      <w:pStyle w:val="a8"/>
      <w:jc w:val="center"/>
    </w:pPr>
    <w:r>
      <w:fldChar w:fldCharType="begin"/>
    </w:r>
    <w:r w:rsidR="00226B7B">
      <w:instrText xml:space="preserve"> PAGE   \* MERGEFORMAT </w:instrText>
    </w:r>
    <w:r>
      <w:fldChar w:fldCharType="separate"/>
    </w:r>
    <w:r w:rsidR="009F5CDE" w:rsidRPr="009F5CDE">
      <w:rPr>
        <w:noProof/>
        <w:lang w:val="zh-CN"/>
      </w:rPr>
      <w:t>5</w:t>
    </w:r>
    <w:r>
      <w:fldChar w:fldCharType="end"/>
    </w:r>
  </w:p>
  <w:p w:rsidR="00856B3A" w:rsidRDefault="00856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A1" w:rsidRDefault="00E83BA1" w:rsidP="00856B3A">
      <w:r>
        <w:separator/>
      </w:r>
    </w:p>
  </w:footnote>
  <w:footnote w:type="continuationSeparator" w:id="0">
    <w:p w:rsidR="00E83BA1" w:rsidRDefault="00E83BA1" w:rsidP="0085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5BA202110000EDA1" w:val=" "/>
    <w:docVar w:name="5BA202A500002F24" w:val=" "/>
    <w:docVar w:name="5BA2EBD00000276D" w:val=" "/>
  </w:docVars>
  <w:rsids>
    <w:rsidRoot w:val="005D77D0"/>
    <w:rsid w:val="00002571"/>
    <w:rsid w:val="00003537"/>
    <w:rsid w:val="00012CA2"/>
    <w:rsid w:val="00013087"/>
    <w:rsid w:val="00047748"/>
    <w:rsid w:val="0008290E"/>
    <w:rsid w:val="00086A51"/>
    <w:rsid w:val="00093749"/>
    <w:rsid w:val="000C53A8"/>
    <w:rsid w:val="000E094F"/>
    <w:rsid w:val="000E2DE0"/>
    <w:rsid w:val="000E5B42"/>
    <w:rsid w:val="000F2292"/>
    <w:rsid w:val="00100242"/>
    <w:rsid w:val="00103FBE"/>
    <w:rsid w:val="0010602D"/>
    <w:rsid w:val="00107D8D"/>
    <w:rsid w:val="0011243B"/>
    <w:rsid w:val="0012296F"/>
    <w:rsid w:val="0012457B"/>
    <w:rsid w:val="00134826"/>
    <w:rsid w:val="00136A2B"/>
    <w:rsid w:val="001524F1"/>
    <w:rsid w:val="001652A5"/>
    <w:rsid w:val="00181A64"/>
    <w:rsid w:val="00183CAA"/>
    <w:rsid w:val="00191D52"/>
    <w:rsid w:val="00193A0C"/>
    <w:rsid w:val="001A6187"/>
    <w:rsid w:val="001B1DCD"/>
    <w:rsid w:val="001B3DD3"/>
    <w:rsid w:val="001C72CD"/>
    <w:rsid w:val="001E03D9"/>
    <w:rsid w:val="001E0637"/>
    <w:rsid w:val="001E6100"/>
    <w:rsid w:val="001E7B8F"/>
    <w:rsid w:val="001F300E"/>
    <w:rsid w:val="00202B57"/>
    <w:rsid w:val="00216070"/>
    <w:rsid w:val="00221185"/>
    <w:rsid w:val="00226B7B"/>
    <w:rsid w:val="00231ED7"/>
    <w:rsid w:val="0025536E"/>
    <w:rsid w:val="00261260"/>
    <w:rsid w:val="00265ADD"/>
    <w:rsid w:val="002834E2"/>
    <w:rsid w:val="002A00B2"/>
    <w:rsid w:val="002A0645"/>
    <w:rsid w:val="002B51D8"/>
    <w:rsid w:val="002D103D"/>
    <w:rsid w:val="002D535B"/>
    <w:rsid w:val="002E69C8"/>
    <w:rsid w:val="002E7BE4"/>
    <w:rsid w:val="002F308B"/>
    <w:rsid w:val="00305523"/>
    <w:rsid w:val="0033447F"/>
    <w:rsid w:val="00351204"/>
    <w:rsid w:val="003548D9"/>
    <w:rsid w:val="00373E6A"/>
    <w:rsid w:val="00376DFD"/>
    <w:rsid w:val="003858D4"/>
    <w:rsid w:val="00390154"/>
    <w:rsid w:val="0039160F"/>
    <w:rsid w:val="003A18AA"/>
    <w:rsid w:val="003A5801"/>
    <w:rsid w:val="003B62D9"/>
    <w:rsid w:val="003D1869"/>
    <w:rsid w:val="003E6E0C"/>
    <w:rsid w:val="004070E3"/>
    <w:rsid w:val="0044598E"/>
    <w:rsid w:val="00460C06"/>
    <w:rsid w:val="00466539"/>
    <w:rsid w:val="00483EC9"/>
    <w:rsid w:val="00491FB8"/>
    <w:rsid w:val="00495438"/>
    <w:rsid w:val="004A7610"/>
    <w:rsid w:val="004C1481"/>
    <w:rsid w:val="004C4475"/>
    <w:rsid w:val="004C6CFC"/>
    <w:rsid w:val="00502794"/>
    <w:rsid w:val="00502C74"/>
    <w:rsid w:val="005033EB"/>
    <w:rsid w:val="00511F62"/>
    <w:rsid w:val="005272AF"/>
    <w:rsid w:val="00530CE8"/>
    <w:rsid w:val="00532630"/>
    <w:rsid w:val="00535EAA"/>
    <w:rsid w:val="00536F70"/>
    <w:rsid w:val="0054495E"/>
    <w:rsid w:val="00552947"/>
    <w:rsid w:val="005671CB"/>
    <w:rsid w:val="00572BEB"/>
    <w:rsid w:val="00583B81"/>
    <w:rsid w:val="00591F54"/>
    <w:rsid w:val="005967FD"/>
    <w:rsid w:val="005A065D"/>
    <w:rsid w:val="005A1F30"/>
    <w:rsid w:val="005A704E"/>
    <w:rsid w:val="005B1B65"/>
    <w:rsid w:val="005B3397"/>
    <w:rsid w:val="005B4487"/>
    <w:rsid w:val="005B7E8A"/>
    <w:rsid w:val="005C5936"/>
    <w:rsid w:val="005D160A"/>
    <w:rsid w:val="005D6453"/>
    <w:rsid w:val="005D77D0"/>
    <w:rsid w:val="005E3387"/>
    <w:rsid w:val="00606407"/>
    <w:rsid w:val="0061665E"/>
    <w:rsid w:val="00623270"/>
    <w:rsid w:val="00623BF3"/>
    <w:rsid w:val="00624AC0"/>
    <w:rsid w:val="00625B63"/>
    <w:rsid w:val="00626E3B"/>
    <w:rsid w:val="00634B74"/>
    <w:rsid w:val="00635769"/>
    <w:rsid w:val="00641E6F"/>
    <w:rsid w:val="00644F82"/>
    <w:rsid w:val="00650DBD"/>
    <w:rsid w:val="006524B3"/>
    <w:rsid w:val="006674FB"/>
    <w:rsid w:val="00682F5D"/>
    <w:rsid w:val="006835F8"/>
    <w:rsid w:val="006922C7"/>
    <w:rsid w:val="00692829"/>
    <w:rsid w:val="00692C97"/>
    <w:rsid w:val="00694B8D"/>
    <w:rsid w:val="006A29A4"/>
    <w:rsid w:val="006A70CE"/>
    <w:rsid w:val="006B2542"/>
    <w:rsid w:val="006B4689"/>
    <w:rsid w:val="006C6E50"/>
    <w:rsid w:val="006D283E"/>
    <w:rsid w:val="006E1343"/>
    <w:rsid w:val="006E428B"/>
    <w:rsid w:val="006E6DA0"/>
    <w:rsid w:val="006E7809"/>
    <w:rsid w:val="006F46E1"/>
    <w:rsid w:val="0070700A"/>
    <w:rsid w:val="007171B2"/>
    <w:rsid w:val="00717B9F"/>
    <w:rsid w:val="007524E6"/>
    <w:rsid w:val="00756033"/>
    <w:rsid w:val="00756D0C"/>
    <w:rsid w:val="007603EF"/>
    <w:rsid w:val="00780A5A"/>
    <w:rsid w:val="00782528"/>
    <w:rsid w:val="007834E4"/>
    <w:rsid w:val="00784E39"/>
    <w:rsid w:val="00787EFE"/>
    <w:rsid w:val="007939B7"/>
    <w:rsid w:val="007941F7"/>
    <w:rsid w:val="00794B08"/>
    <w:rsid w:val="007952E4"/>
    <w:rsid w:val="0079627C"/>
    <w:rsid w:val="007A03B5"/>
    <w:rsid w:val="007A1C29"/>
    <w:rsid w:val="007A421D"/>
    <w:rsid w:val="007B44BB"/>
    <w:rsid w:val="007D16BB"/>
    <w:rsid w:val="007E6938"/>
    <w:rsid w:val="00800826"/>
    <w:rsid w:val="00805D0D"/>
    <w:rsid w:val="00806371"/>
    <w:rsid w:val="00811ED5"/>
    <w:rsid w:val="00814B23"/>
    <w:rsid w:val="00816A8D"/>
    <w:rsid w:val="00820E22"/>
    <w:rsid w:val="00821656"/>
    <w:rsid w:val="00822856"/>
    <w:rsid w:val="008278EC"/>
    <w:rsid w:val="008375A9"/>
    <w:rsid w:val="008509A0"/>
    <w:rsid w:val="008537F1"/>
    <w:rsid w:val="0085468D"/>
    <w:rsid w:val="00856B3A"/>
    <w:rsid w:val="00871236"/>
    <w:rsid w:val="00872F67"/>
    <w:rsid w:val="008B5927"/>
    <w:rsid w:val="008C5A1D"/>
    <w:rsid w:val="008C6471"/>
    <w:rsid w:val="008D1A35"/>
    <w:rsid w:val="008D7AA4"/>
    <w:rsid w:val="008E334D"/>
    <w:rsid w:val="008F7001"/>
    <w:rsid w:val="008F7EBE"/>
    <w:rsid w:val="00901041"/>
    <w:rsid w:val="009013EF"/>
    <w:rsid w:val="00921F2A"/>
    <w:rsid w:val="00924D06"/>
    <w:rsid w:val="00933617"/>
    <w:rsid w:val="009433C5"/>
    <w:rsid w:val="00944096"/>
    <w:rsid w:val="00955522"/>
    <w:rsid w:val="009648F6"/>
    <w:rsid w:val="0098207A"/>
    <w:rsid w:val="00986D71"/>
    <w:rsid w:val="00993A94"/>
    <w:rsid w:val="009A078B"/>
    <w:rsid w:val="009A6CF0"/>
    <w:rsid w:val="009D717A"/>
    <w:rsid w:val="009E5216"/>
    <w:rsid w:val="009F12B2"/>
    <w:rsid w:val="009F12B7"/>
    <w:rsid w:val="009F5CDE"/>
    <w:rsid w:val="00A212E6"/>
    <w:rsid w:val="00A25361"/>
    <w:rsid w:val="00A33B38"/>
    <w:rsid w:val="00A57AB3"/>
    <w:rsid w:val="00A60096"/>
    <w:rsid w:val="00A60C38"/>
    <w:rsid w:val="00A60EF1"/>
    <w:rsid w:val="00A61CD2"/>
    <w:rsid w:val="00A62A11"/>
    <w:rsid w:val="00A745FE"/>
    <w:rsid w:val="00A74655"/>
    <w:rsid w:val="00A84791"/>
    <w:rsid w:val="00A97273"/>
    <w:rsid w:val="00AA19F1"/>
    <w:rsid w:val="00AA240C"/>
    <w:rsid w:val="00AC3342"/>
    <w:rsid w:val="00AC7973"/>
    <w:rsid w:val="00AE1363"/>
    <w:rsid w:val="00AE44AF"/>
    <w:rsid w:val="00AF2418"/>
    <w:rsid w:val="00AF4C53"/>
    <w:rsid w:val="00AF582F"/>
    <w:rsid w:val="00B01010"/>
    <w:rsid w:val="00B1480B"/>
    <w:rsid w:val="00B14DFE"/>
    <w:rsid w:val="00B17D7C"/>
    <w:rsid w:val="00B26596"/>
    <w:rsid w:val="00B50E7A"/>
    <w:rsid w:val="00B857E3"/>
    <w:rsid w:val="00BC6E27"/>
    <w:rsid w:val="00BE7E46"/>
    <w:rsid w:val="00BF13C6"/>
    <w:rsid w:val="00BF39E4"/>
    <w:rsid w:val="00C053F8"/>
    <w:rsid w:val="00C179E0"/>
    <w:rsid w:val="00C3014A"/>
    <w:rsid w:val="00C33E68"/>
    <w:rsid w:val="00C42A4B"/>
    <w:rsid w:val="00C45890"/>
    <w:rsid w:val="00C50B1A"/>
    <w:rsid w:val="00C50CE7"/>
    <w:rsid w:val="00C5482A"/>
    <w:rsid w:val="00C6178E"/>
    <w:rsid w:val="00C61AE3"/>
    <w:rsid w:val="00C64096"/>
    <w:rsid w:val="00C663C7"/>
    <w:rsid w:val="00C71827"/>
    <w:rsid w:val="00C84A5B"/>
    <w:rsid w:val="00C85C8E"/>
    <w:rsid w:val="00CA0FB6"/>
    <w:rsid w:val="00CB10C0"/>
    <w:rsid w:val="00CC271A"/>
    <w:rsid w:val="00CD2643"/>
    <w:rsid w:val="00CD5314"/>
    <w:rsid w:val="00CE7A71"/>
    <w:rsid w:val="00CE7C17"/>
    <w:rsid w:val="00CF7829"/>
    <w:rsid w:val="00D004FA"/>
    <w:rsid w:val="00D05C40"/>
    <w:rsid w:val="00D1017B"/>
    <w:rsid w:val="00D12D26"/>
    <w:rsid w:val="00D2437A"/>
    <w:rsid w:val="00D40B31"/>
    <w:rsid w:val="00D45ADC"/>
    <w:rsid w:val="00D520BA"/>
    <w:rsid w:val="00D56178"/>
    <w:rsid w:val="00D60CAB"/>
    <w:rsid w:val="00D610AD"/>
    <w:rsid w:val="00D64C13"/>
    <w:rsid w:val="00D77B06"/>
    <w:rsid w:val="00D82356"/>
    <w:rsid w:val="00D957D3"/>
    <w:rsid w:val="00D973E8"/>
    <w:rsid w:val="00DA7C9E"/>
    <w:rsid w:val="00DB6B3F"/>
    <w:rsid w:val="00DB712E"/>
    <w:rsid w:val="00DC283C"/>
    <w:rsid w:val="00DC2A90"/>
    <w:rsid w:val="00DC3C9D"/>
    <w:rsid w:val="00DC56CF"/>
    <w:rsid w:val="00DD08A4"/>
    <w:rsid w:val="00DD14B2"/>
    <w:rsid w:val="00DD2DAC"/>
    <w:rsid w:val="00DE5AC8"/>
    <w:rsid w:val="00DF5586"/>
    <w:rsid w:val="00E05D25"/>
    <w:rsid w:val="00E313C4"/>
    <w:rsid w:val="00E366C6"/>
    <w:rsid w:val="00E411BC"/>
    <w:rsid w:val="00E445E4"/>
    <w:rsid w:val="00E631D1"/>
    <w:rsid w:val="00E75035"/>
    <w:rsid w:val="00E763FF"/>
    <w:rsid w:val="00E83BA1"/>
    <w:rsid w:val="00E912AD"/>
    <w:rsid w:val="00E925E9"/>
    <w:rsid w:val="00EA0664"/>
    <w:rsid w:val="00EA7108"/>
    <w:rsid w:val="00EB5A0B"/>
    <w:rsid w:val="00EC40E7"/>
    <w:rsid w:val="00ED1C4E"/>
    <w:rsid w:val="00ED6561"/>
    <w:rsid w:val="00EE76BF"/>
    <w:rsid w:val="00EF2DC2"/>
    <w:rsid w:val="00EF5082"/>
    <w:rsid w:val="00F411A5"/>
    <w:rsid w:val="00F41486"/>
    <w:rsid w:val="00F43409"/>
    <w:rsid w:val="00F44AB8"/>
    <w:rsid w:val="00F5574B"/>
    <w:rsid w:val="00F57F3B"/>
    <w:rsid w:val="00F83512"/>
    <w:rsid w:val="00F963FE"/>
    <w:rsid w:val="00FA4371"/>
    <w:rsid w:val="00FA5307"/>
    <w:rsid w:val="00FB5E0D"/>
    <w:rsid w:val="00FC093C"/>
    <w:rsid w:val="00FD3FFE"/>
    <w:rsid w:val="00FD4110"/>
    <w:rsid w:val="00FE49F9"/>
    <w:rsid w:val="00FE57A5"/>
    <w:rsid w:val="00FF084F"/>
    <w:rsid w:val="1F1F06B8"/>
    <w:rsid w:val="444371C4"/>
    <w:rsid w:val="48CE7AC2"/>
    <w:rsid w:val="5735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67544A2-B536-4D6D-806F-94CD4EA0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3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856B3A"/>
    <w:rPr>
      <w:b/>
      <w:bCs/>
    </w:rPr>
  </w:style>
  <w:style w:type="paragraph" w:styleId="a4">
    <w:name w:val="annotation text"/>
    <w:basedOn w:val="a"/>
    <w:link w:val="Char0"/>
    <w:semiHidden/>
    <w:qFormat/>
    <w:rsid w:val="00856B3A"/>
    <w:pPr>
      <w:jc w:val="left"/>
    </w:pPr>
    <w:rPr>
      <w:rFonts w:cs="Times New Roman"/>
      <w:kern w:val="0"/>
      <w:sz w:val="20"/>
      <w:szCs w:val="20"/>
    </w:rPr>
  </w:style>
  <w:style w:type="paragraph" w:styleId="a5">
    <w:name w:val="Document Map"/>
    <w:basedOn w:val="a"/>
    <w:semiHidden/>
    <w:qFormat/>
    <w:rsid w:val="00856B3A"/>
    <w:pPr>
      <w:shd w:val="clear" w:color="auto" w:fill="000080"/>
    </w:pPr>
  </w:style>
  <w:style w:type="paragraph" w:styleId="a6">
    <w:name w:val="Date"/>
    <w:basedOn w:val="a"/>
    <w:next w:val="a"/>
    <w:qFormat/>
    <w:rsid w:val="00856B3A"/>
    <w:pPr>
      <w:ind w:leftChars="2500" w:left="100"/>
    </w:pPr>
  </w:style>
  <w:style w:type="paragraph" w:styleId="a7">
    <w:name w:val="Balloon Text"/>
    <w:basedOn w:val="a"/>
    <w:link w:val="Char1"/>
    <w:semiHidden/>
    <w:qFormat/>
    <w:rsid w:val="00856B3A"/>
    <w:rPr>
      <w:rFonts w:cs="Times New Roman"/>
      <w:kern w:val="0"/>
      <w:sz w:val="18"/>
      <w:szCs w:val="18"/>
    </w:rPr>
  </w:style>
  <w:style w:type="paragraph" w:styleId="a8">
    <w:name w:val="footer"/>
    <w:basedOn w:val="a"/>
    <w:link w:val="Char2"/>
    <w:uiPriority w:val="99"/>
    <w:rsid w:val="00856B3A"/>
    <w:pPr>
      <w:tabs>
        <w:tab w:val="center" w:pos="4153"/>
        <w:tab w:val="right" w:pos="8306"/>
      </w:tabs>
      <w:snapToGrid w:val="0"/>
      <w:jc w:val="left"/>
    </w:pPr>
    <w:rPr>
      <w:rFonts w:cs="Times New Roman"/>
      <w:sz w:val="18"/>
      <w:szCs w:val="18"/>
    </w:rPr>
  </w:style>
  <w:style w:type="paragraph" w:styleId="a9">
    <w:name w:val="header"/>
    <w:basedOn w:val="a"/>
    <w:link w:val="Char3"/>
    <w:qFormat/>
    <w:rsid w:val="00856B3A"/>
    <w:pPr>
      <w:pBdr>
        <w:bottom w:val="single" w:sz="6" w:space="1" w:color="auto"/>
      </w:pBdr>
      <w:tabs>
        <w:tab w:val="center" w:pos="4153"/>
        <w:tab w:val="right" w:pos="8306"/>
      </w:tabs>
      <w:snapToGrid w:val="0"/>
      <w:jc w:val="center"/>
    </w:pPr>
    <w:rPr>
      <w:rFonts w:cs="Times New Roman"/>
      <w:sz w:val="18"/>
      <w:szCs w:val="18"/>
    </w:rPr>
  </w:style>
  <w:style w:type="character" w:styleId="aa">
    <w:name w:val="Hyperlink"/>
    <w:rsid w:val="00856B3A"/>
    <w:rPr>
      <w:color w:val="0000FF"/>
      <w:u w:val="single"/>
    </w:rPr>
  </w:style>
  <w:style w:type="character" w:styleId="ab">
    <w:name w:val="annotation reference"/>
    <w:semiHidden/>
    <w:qFormat/>
    <w:rsid w:val="00856B3A"/>
    <w:rPr>
      <w:rFonts w:cs="Times New Roman"/>
      <w:sz w:val="21"/>
      <w:szCs w:val="21"/>
    </w:rPr>
  </w:style>
  <w:style w:type="paragraph" w:customStyle="1" w:styleId="CharCharChar">
    <w:name w:val="Char Char Char"/>
    <w:basedOn w:val="a"/>
    <w:qFormat/>
    <w:rsid w:val="00856B3A"/>
    <w:pPr>
      <w:adjustRightInd w:val="0"/>
      <w:spacing w:line="360" w:lineRule="atLeast"/>
      <w:textAlignment w:val="baseline"/>
    </w:pPr>
    <w:rPr>
      <w:rFonts w:ascii="Times New Roman" w:eastAsia="仿宋_GB2312" w:hAnsi="Times New Roman" w:cs="Times New Roman"/>
      <w:snapToGrid w:val="0"/>
      <w:kern w:val="0"/>
      <w:sz w:val="28"/>
      <w:szCs w:val="24"/>
    </w:rPr>
  </w:style>
  <w:style w:type="paragraph" w:customStyle="1" w:styleId="CharCharChar1">
    <w:name w:val="Char Char Char1"/>
    <w:basedOn w:val="a"/>
    <w:qFormat/>
    <w:rsid w:val="00856B3A"/>
    <w:pPr>
      <w:adjustRightInd w:val="0"/>
      <w:snapToGrid w:val="0"/>
      <w:spacing w:line="360" w:lineRule="atLeast"/>
    </w:pPr>
    <w:rPr>
      <w:rFonts w:ascii="Times New Roman" w:eastAsia="仿宋_GB2312" w:hAnsi="Times New Roman" w:cs="Times New Roman"/>
      <w:kern w:val="0"/>
      <w:sz w:val="28"/>
      <w:szCs w:val="24"/>
    </w:rPr>
  </w:style>
  <w:style w:type="character" w:customStyle="1" w:styleId="Char0">
    <w:name w:val="批注文字 Char"/>
    <w:link w:val="a4"/>
    <w:semiHidden/>
    <w:qFormat/>
    <w:locked/>
    <w:rsid w:val="00856B3A"/>
    <w:rPr>
      <w:rFonts w:cs="Times New Roman"/>
    </w:rPr>
  </w:style>
  <w:style w:type="character" w:customStyle="1" w:styleId="Char">
    <w:name w:val="批注主题 Char"/>
    <w:link w:val="a3"/>
    <w:semiHidden/>
    <w:qFormat/>
    <w:locked/>
    <w:rsid w:val="00856B3A"/>
    <w:rPr>
      <w:rFonts w:cs="Times New Roman"/>
      <w:b/>
      <w:bCs/>
    </w:rPr>
  </w:style>
  <w:style w:type="character" w:customStyle="1" w:styleId="Char1">
    <w:name w:val="批注框文本 Char"/>
    <w:link w:val="a7"/>
    <w:semiHidden/>
    <w:locked/>
    <w:rsid w:val="00856B3A"/>
    <w:rPr>
      <w:rFonts w:cs="Times New Roman"/>
      <w:sz w:val="18"/>
      <w:szCs w:val="18"/>
    </w:rPr>
  </w:style>
  <w:style w:type="character" w:customStyle="1" w:styleId="Char3">
    <w:name w:val="页眉 Char"/>
    <w:link w:val="a9"/>
    <w:qFormat/>
    <w:rsid w:val="00856B3A"/>
    <w:rPr>
      <w:rFonts w:cs="Calibri"/>
      <w:kern w:val="2"/>
      <w:sz w:val="18"/>
      <w:szCs w:val="18"/>
    </w:rPr>
  </w:style>
  <w:style w:type="character" w:customStyle="1" w:styleId="Char2">
    <w:name w:val="页脚 Char"/>
    <w:link w:val="a8"/>
    <w:uiPriority w:val="99"/>
    <w:qFormat/>
    <w:rsid w:val="00856B3A"/>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A9B82-C7DC-4CDB-8DE9-F99FD9B5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383</Words>
  <Characters>2188</Characters>
  <Application>Microsoft Office Word</Application>
  <DocSecurity>0</DocSecurity>
  <Lines>18</Lines>
  <Paragraphs>5</Paragraphs>
  <ScaleCrop>false</ScaleCrop>
  <Company>Lenovo (Beijing) Limited</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专利审查协作XX中心关于报送XXXX年度公开招聘工作人员（审查员）方案的函</dc:title>
  <dc:creator>王慧丽</dc:creator>
  <cp:lastModifiedBy>zhaoyan_1</cp:lastModifiedBy>
  <cp:revision>6</cp:revision>
  <cp:lastPrinted>2013-10-10T06:32:00Z</cp:lastPrinted>
  <dcterms:created xsi:type="dcterms:W3CDTF">2018-09-20T08:35:00Z</dcterms:created>
  <dcterms:modified xsi:type="dcterms:W3CDTF">2018-09-27T09:51:00Z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